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Celcuity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4,877,963.00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4,877,963.00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4,877,963.00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4,877,963.00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4,877,963.00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4,877,963.00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Julian C. Baker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4,877,963.00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4,877,963.00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4,877,963.00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Felix J. Baker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4,877,963.00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4,877,963.00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4,877,963.00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70"/>
        <w:gridCol w:w="8880"/>
        <w:gridCol w:w="155"/>
      </w:tblGrid>
      <w:tr>
        <w:trPr/>
        <w:tc>
          <w:tcPr>
            <w:tcW w:w="1170" w:type="dxa"/>
            <w:tcBorders/>
            <w:vAlign w:val="center"/>
          </w:tcPr>
          <w:p>
            <w:pPr>
              <w:pStyle w:val="TableContents"/>
              <w:bidi w:val="0"/>
              <w:spacing w:before="0" w:after="283"/>
              <w:jc w:val="left"/>
              <w:rPr/>
            </w:pPr>
            <w:r>
              <w:rPr/>
              <w:t>Item 1.</w:t>
            </w:r>
          </w:p>
        </w:tc>
        <w:tc>
          <w:tcPr>
            <w:tcW w:w="88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Name of issuer: </w:t>
            </w:r>
          </w:p>
          <w:p>
            <w:pPr>
              <w:pStyle w:val="TableContents"/>
              <w:bidi w:val="0"/>
              <w:spacing w:before="0" w:after="0"/>
              <w:jc w:val="left"/>
              <w:rPr/>
            </w:pPr>
            <w:r>
              <w:rPr/>
              <w:t>Celcuity Inc.</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2800 Campus Drive, Suite 140, Minneapolis, MN 55441</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2.</w:t>
            </w:r>
          </w:p>
        </w:tc>
        <w:tc>
          <w:tcPr>
            <w:tcW w:w="88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jointly by Baker Bros. Advisors LP (the "Adviser"), Baker Bros. Advisors (GP) LLC (the "Adviser GP"), Julian C. Baker and Felix J. Baker (collectively, the "Reporting Persons"). The Reporting Persons previously reported their beneficial ownership of the Common Stock of Celcuity Inc. (the "Issuer") on Schedule 13D. Prior to the filing of this Schedule 13G, the Reporting Persons filed Amendment No. 2 to that Schedule 13D ("Amendment No. 2") reporting that, as a result of the dispositions of Common Stock of the Issuer ("Common Stock") described therein and the setting of the Maximum Percentage (as defined in Amendment No. 2) at 9.99%, they beneficially own less than 10% of the outstanding Common Stock, are not affiliates of the Issuer, and hold such securities for investment purposes and not with the purpose or effect of changing or influencing control of the Issuer. Accordingly, the Reporting Persons are eligible to report, and are hereby reporting, their beneficial ownership of the Common Stock of the Issuer on Schedule 13G pursuant to Rule 13d-1(b).</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c/o Baker Bros. Advisors LP 860 Washington Street, 3rd Floor New York, NY 10014 (212) 339-5690</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jc w:val="left"/>
              <w:rPr/>
            </w:pPr>
            <w:r>
              <w:rPr/>
              <w:t xml:space="preserve">Citizenship: </w:t>
            </w:r>
          </w:p>
          <w:p>
            <w:pPr>
              <w:pStyle w:val="TableContents"/>
              <w:bidi w:val="0"/>
              <w:spacing w:before="0" w:after="0"/>
              <w:jc w:val="left"/>
              <w:rPr/>
            </w:pPr>
            <w:r>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3.</w:t>
            </w:r>
          </w:p>
        </w:tc>
        <w:tc>
          <w:tcPr>
            <w:tcW w:w="88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(f)</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(g)</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(h)</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(j)</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(k)</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9035" w:type="dxa"/>
            <w:gridSpan w:val="2"/>
            <w:tcBorders/>
            <w:vAlign w:val="center"/>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4.</w:t>
            </w:r>
          </w:p>
        </w:tc>
        <w:tc>
          <w:tcPr>
            <w:tcW w:w="88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 through 9 of each of the cover pages to this Schedule 13G are incorporated herein by reference. Set forth below is the aggregate number of shares of Common Stock of the Issuer directly held in the aggregate by Baker Brothers Life Sciences, L.P. ("Life Sciences") and 667, L.P. ("667", and together with Life Sciences, the "Funds") which may be deemed to be indirectly beneficially owned by the Reporting Persons, as well as Common Stock that may be acquired upon exercise of prefunded warrants with no expiration date with an exercise price of $0.001 per share of Common Stock ("$0.001 Prefunded Warrants"), subject to the limitations on exercise described below and Common Stock that may be acquired upon conversion of the 2.75% convertible notes of the Issuer, convertible at any time at the option of the holder into 19.4932 shares of Common Stock per $1,000 principal amount, subject to beneficial ownership limitations described below (the "2.75% Convertible Notes"). The Reporting Persons beneficially own 4,815,792 shares of Common Stock directly held by the Funds as well as 62,171 shares of Common Stock that may be acquired upon exercise of 62,171 $0.001 Prefunded Warrants, subject to the limitations on exercise of the $0.001 Prefunded Warrants as described below. The $0.001 Prefunded Warrants are only exercisable to the extent that after giving effect to such exercise the holders thereof, together with their affiliates and any persons who are members of a Section 13(d) group with the holders or any of their affiliates would beneficially own in the aggregate, for purposes of Rule 13d-3 under the Securities Exchange Act of 1934, as amended (the "Exchange Act"), no more than 9.99% of the outstanding shares of Common Stock (the "Maximum Percentage"). By written notice to the Issuer, the Funds may from time to time increase or decrease the Maximum Percentage applicable to that Fund to any other percentage not in excess of 19.99%. Any such increase will not be effective until the 61st day after such notice is delivered to the Issuer. As a result of these restrictions, the number of shares of Common Stock that may be issued upon exercise of the $0.001 Prefunded Warrants by the above holders may change depending upon changes in the outstanding Common Stock. The 2.75% Convertible Notes are only convertible to the extent that after giving effect or immediately prior to such conversion the holders thereof, their affiliates and any persons who are members of a Section 13(d) group with the holders or any of their affiliates would beneficially own in the aggregate, for purposes of Rule 13d-3 under the Exchange Act, no more than 4.99% of the outstanding shares of Common Stock (the "Beneficial Ownership Limitation"). By written notice to the Issuer, the Funds may from time to time increase or decrease the Beneficial Ownership Limitation applicable to that Fund to any other percentage not in excess of 19.99%. Any such increase will not be effective until the 61st day after such notice is delivered to the Issuer. Due to the Beneficial Ownership Limitation, the Funds cannot presently convert any of the 2.75% Convertible Notes.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in Item 11 of each of the cover pages to this Schedule 13G is incorporated herein by reference. The percentage of beneficial ownership for each of the Reporting Persons reported herein is based on 48,766,288 shares of Common Stock outstanding as of May 7, 2026, as reported in the Issuer's Form 10-Q filed with the Securities and Exchange Commission ("SEC") on May 14, 2026, plus 62,171 shares of Common Stock underlying $0.001 Prefunded Warrants exercisable within 60 days, subject to the limitations on exercise as described above.  %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Reporting Persons have sole power to vote or direct the vote of 4,815,792 shares of Common Stock directly held by the Funds as well as 62,171 shares of Common Stock that may be acquired upon exercise of 62,171 $0.001 Prefunded Warrants, subject to the limitations on exercise of the $0.001 Prefunded Warrants as described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Reporting Persons have sole power to dispose or direct the disposition of 4,815,792 shares of Common Stock directly held by the Funds as well as 62,171 shares of Common Stock that may be acquired upon exercise of 62,171 $0.001 Prefunded Warrants, subject to the limitations on exercise of the $0.001 Prefunded Warrants as described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5.</w:t>
            </w:r>
          </w:p>
        </w:tc>
        <w:tc>
          <w:tcPr>
            <w:tcW w:w="88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6.</w:t>
            </w:r>
          </w:p>
        </w:tc>
        <w:tc>
          <w:tcPr>
            <w:tcW w:w="88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7.</w:t>
            </w:r>
          </w:p>
        </w:tc>
        <w:tc>
          <w:tcPr>
            <w:tcW w:w="88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information in Item 4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8.</w:t>
            </w:r>
          </w:p>
        </w:tc>
        <w:tc>
          <w:tcPr>
            <w:tcW w:w="88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9.</w:t>
            </w:r>
          </w:p>
        </w:tc>
        <w:tc>
          <w:tcPr>
            <w:tcW w:w="88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Baker Bros. Advisors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Scott L. Lessing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Scott L. Lessing/ President By: Baker Bros. Advisors (GP) LLC, its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Baker Bros. Advisors (GP)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Scott L. Lessing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Scott L. Lessing/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Julian C. Baker</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Julian C. Baker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Julian C. Baker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Felix J. Baker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Felix J. Baker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Felix J. Baker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283"/>
              <w:jc w:val="center"/>
              <w:rPr>
                <w:b/>
              </w:rPr>
            </w:pPr>
            <w:r>
              <w:rPr>
                <w:b/>
              </w:rPr>
              <w:t xml:space="preserve">Exhibit Information </w:t>
            </w:r>
          </w:p>
        </w:tc>
      </w:tr>
      <w:tr>
        <w:trPr/>
        <w:tc>
          <w:tcPr>
            <w:tcW w:w="3856"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28" w:name="tm2620612d2_ex99-1.htm"/>
      <w:bookmarkStart w:id="29" w:name="kstm2620612d2_ex991"/>
      <w:bookmarkEnd w:id="28"/>
      <w:bookmarkEnd w:id="29"/>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under the Securities Exchange Act of 1934, as amended, the undersigned hereby agree that only one statement containing the information required by Schedule 13G need be filed with respect to the ownership by each of the undersigned of the shares of Common Stock of Celcuity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deemed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of this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320"/>
        <w:gridCol w:w="4115"/>
      </w:tblGrid>
      <w:tr>
        <w:trPr/>
        <w:tc>
          <w:tcPr>
            <w:tcW w:w="75" w:type="dxa"/>
            <w:tcBorders/>
            <w:vAlign w:val="center"/>
          </w:tcPr>
          <w:p>
            <w:pPr>
              <w:pStyle w:val="TableContents"/>
              <w:bidi w:val="0"/>
              <w:spacing w:before="0" w:after="283"/>
              <w:jc w:val="left"/>
              <w:rPr/>
            </w:pPr>
            <w:r>
              <w:rPr/>
              <w:t> </w:t>
            </w:r>
          </w:p>
        </w:tc>
        <w:tc>
          <w:tcPr>
            <w:tcW w:w="44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BAKER BROS. ADVISORS LP  </w:t>
            </w:r>
          </w:p>
        </w:tc>
      </w:tr>
      <w:tr>
        <w:trPr/>
        <w:tc>
          <w:tcPr>
            <w:tcW w:w="75" w:type="dxa"/>
            <w:tcBorders/>
            <w:vAlign w:val="center"/>
          </w:tcPr>
          <w:p>
            <w:pPr>
              <w:pStyle w:val="TableContents"/>
              <w:bidi w:val="0"/>
              <w:spacing w:before="0" w:after="283"/>
              <w:jc w:val="left"/>
              <w:rPr/>
            </w:pPr>
            <w:r>
              <w:rPr/>
              <w:t> </w:t>
            </w:r>
          </w:p>
        </w:tc>
        <w:tc>
          <w:tcPr>
            <w:tcW w:w="44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Baker Bros. Advisors (GP) LLC, its general partner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L. Lessing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Scott L. Lessing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w:t>
            </w:r>
          </w:p>
        </w:tc>
      </w:tr>
    </w:tbl>
    <w:p>
      <w:pPr>
        <w:pStyle w:val="TextBody"/>
        <w:bidi w:val="0"/>
        <w:spacing w:before="0" w:after="0"/>
        <w:ind w:left="0" w:right="0" w:hanging="432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465"/>
        <w:gridCol w:w="2779"/>
      </w:tblGrid>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BAKER BROS. ADVISORS (GP) LLC</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L. Lessing</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Scott L. Lessing</w:t>
            </w:r>
          </w:p>
        </w:tc>
      </w:tr>
      <w:tr>
        <w:trPr/>
        <w:tc>
          <w:tcPr>
            <w:tcW w:w="7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sz w:val="20"/>
              </w:rPr>
            </w:pPr>
            <w:r>
              <w:rPr>
                <w:sz w:val="20"/>
              </w:rPr>
              <w:t>Title: President  </w:t>
            </w:r>
          </w:p>
        </w:tc>
      </w:tr>
    </w:tbl>
    <w:p>
      <w:pPr>
        <w:pStyle w:val="TextBody"/>
        <w:bidi w:val="0"/>
        <w:spacing w:before="0" w:after="0"/>
        <w:ind w:left="0" w:right="0" w:hanging="0"/>
        <w:jc w:val="left"/>
        <w:rPr>
          <w:caps w:val="false"/>
          <w:smallCaps w:val="false"/>
        </w:rPr>
      </w:pPr>
      <w:r>
        <w:rPr>
          <w:caps w:val="false"/>
          <w:smallCaps w:val="false"/>
        </w:rPr>
        <w:t> </w:t>
      </w:r>
    </w:p>
    <w:tbl>
      <w:tblPr>
        <w:tblW w:w="1790" w:type="dxa"/>
        <w:jc w:val="left"/>
        <w:tblInd w:w="0" w:type="dxa"/>
        <w:tblLayout w:type="fixed"/>
        <w:tblCellMar>
          <w:top w:w="0" w:type="dxa"/>
          <w:left w:w="0" w:type="dxa"/>
          <w:bottom w:w="0" w:type="dxa"/>
          <w:right w:w="0" w:type="dxa"/>
        </w:tblCellMar>
      </w:tblPr>
      <w:tblGrid>
        <w:gridCol w:w="75"/>
        <w:gridCol w:w="1715"/>
      </w:tblGrid>
      <w:tr>
        <w:trPr/>
        <w:tc>
          <w:tcPr>
            <w:tcW w:w="7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b/>
                <w:sz w:val="20"/>
              </w:rPr>
            </w:pPr>
            <w:r>
              <w:rPr>
                <w:b/>
                <w:sz w:val="20"/>
              </w:rPr>
              <w:t>JULIAN C. BAKER</w:t>
            </w:r>
          </w:p>
        </w:tc>
      </w:tr>
      <w:tr>
        <w:trPr/>
        <w:tc>
          <w:tcPr>
            <w:tcW w:w="75" w:type="dxa"/>
            <w:tcBorders/>
            <w:vAlign w:val="center"/>
          </w:tcPr>
          <w:p>
            <w:pPr>
              <w:pStyle w:val="TableContents"/>
              <w:bidi w:val="0"/>
              <w:spacing w:before="0" w:after="283"/>
              <w:jc w:val="left"/>
              <w:rPr/>
            </w:pPr>
            <w:r>
              <w:rPr/>
              <w:t> </w:t>
            </w:r>
          </w:p>
        </w:tc>
        <w:tc>
          <w:tcPr>
            <w:tcW w:w="17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Julian C. Baker</w:t>
            </w:r>
          </w:p>
        </w:tc>
      </w:tr>
      <w:tr>
        <w:trPr/>
        <w:tc>
          <w:tcPr>
            <w:tcW w:w="7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sz w:val="20"/>
              </w:rPr>
            </w:pPr>
            <w:r>
              <w:rPr>
                <w:sz w:val="20"/>
              </w:rPr>
              <w:t>Julian C. Baker  </w:t>
            </w:r>
          </w:p>
        </w:tc>
      </w:tr>
      <w:tr>
        <w:trPr/>
        <w:tc>
          <w:tcPr>
            <w:tcW w:w="7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FELIX J. BAKER</w:t>
            </w:r>
          </w:p>
        </w:tc>
      </w:tr>
      <w:tr>
        <w:trPr/>
        <w:tc>
          <w:tcPr>
            <w:tcW w:w="75" w:type="dxa"/>
            <w:tcBorders/>
            <w:vAlign w:val="center"/>
          </w:tcPr>
          <w:p>
            <w:pPr>
              <w:pStyle w:val="TableContents"/>
              <w:bidi w:val="0"/>
              <w:spacing w:before="0" w:after="283"/>
              <w:jc w:val="left"/>
              <w:rPr/>
            </w:pPr>
            <w:r>
              <w:rPr/>
              <w:t> </w:t>
            </w:r>
          </w:p>
        </w:tc>
        <w:tc>
          <w:tcPr>
            <w:tcW w:w="17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Felix J. Baker</w:t>
            </w:r>
          </w:p>
        </w:tc>
      </w:tr>
      <w:tr>
        <w:trPr/>
        <w:tc>
          <w:tcPr>
            <w:tcW w:w="7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Felix J. Baker</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2417</Words>
  <Characters>12331</Characters>
  <CharactersWithSpaces>14699</CharactersWithSpaces>
  <Paragraphs>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