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celc-20260930.htm"/>
      <w:bookmarkStart w:id="1" w:name="kscelc202609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p>
      <w:pPr>
        <w:pStyle w:val="TextBody"/>
        <w:bidi w:val="0"/>
        <w:jc w:val="center"/>
        <w:rPr>
          <w:rFonts w:ascii="Times New Roman" w:hAnsi="Times New Roman"/>
          <w:b/>
          <w:color w:val="000000"/>
          <w:sz w:val="36"/>
        </w:rPr>
      </w:pPr>
      <w:r>
        <w:rPr>
          <w:rFonts w:ascii="Times New Roman" w:hAnsi="Times New Roman"/>
          <w:b/>
          <w:color w:val="000000"/>
          <w:sz w:val="36"/>
        </w:rPr>
        <w:t>Celcuity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576" w:type="dxa"/>
        <w:jc w:val="left"/>
        <w:tblInd w:w="0" w:type="dxa"/>
        <w:tblLayout w:type="fixed"/>
        <w:tblCellMar>
          <w:top w:w="28" w:type="dxa"/>
          <w:left w:w="28" w:type="dxa"/>
          <w:bottom w:w="28" w:type="dxa"/>
          <w:right w:w="28" w:type="dxa"/>
        </w:tblCellMar>
      </w:tblPr>
      <w:tblGrid>
        <w:gridCol w:w="2446"/>
        <w:gridCol w:w="109"/>
        <w:gridCol w:w="1231"/>
        <w:gridCol w:w="109"/>
        <w:gridCol w:w="168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 82-2863566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2800 Campus Drive, Suite 140</w:t>
      </w:r>
    </w:p>
    <w:p>
      <w:pPr>
        <w:pStyle w:val="TextBody"/>
        <w:bidi w:val="0"/>
        <w:jc w:val="center"/>
        <w:rPr>
          <w:rFonts w:ascii="Times New Roman" w:hAnsi="Times New Roman"/>
          <w:sz w:val="20"/>
        </w:rPr>
      </w:pPr>
      <w:r>
        <w:rPr>
          <w:rFonts w:ascii="Times New Roman" w:hAnsi="Times New Roman"/>
          <w:b/>
          <w:color w:val="000000"/>
          <w:sz w:val="20"/>
        </w:rPr>
        <w:t>Minneapolis, Minnesota</w:t>
      </w:r>
      <w:r>
        <w:rPr>
          <w:rFonts w:ascii="Times New Roman" w:hAnsi="Times New Roman"/>
          <w:color w:val="000000"/>
          <w:sz w:val="20"/>
        </w:rPr>
        <w:t xml:space="preserve"> </w:t>
      </w:r>
      <w:r>
        <w:rPr>
          <w:rFonts w:ascii="Times New Roman" w:hAnsi="Times New Roman"/>
          <w:b/>
          <w:color w:val="000000"/>
          <w:sz w:val="20"/>
        </w:rPr>
        <w:t>55441</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and Zip Code)</w:t>
      </w:r>
    </w:p>
    <w:p>
      <w:pPr>
        <w:pStyle w:val="TextBody"/>
        <w:bidi w:val="0"/>
        <w:jc w:val="center"/>
        <w:rPr>
          <w:rFonts w:ascii="Times New Roman" w:hAnsi="Times New Roman"/>
          <w:sz w:val="20"/>
        </w:rPr>
      </w:pPr>
      <w:r>
        <w:rPr>
          <w:rFonts w:ascii="Times New Roman" w:hAnsi="Times New Roman"/>
          <w:b/>
          <w:color w:val="000000"/>
          <w:sz w:val="20"/>
        </w:rPr>
        <w:t>(763)</w:t>
      </w:r>
      <w:r>
        <w:rPr>
          <w:rFonts w:ascii="Times New Roman" w:hAnsi="Times New Roman"/>
          <w:color w:val="000000"/>
          <w:sz w:val="20"/>
        </w:rPr>
        <w:t xml:space="preserve"> </w:t>
      </w:r>
      <w:r>
        <w:rPr>
          <w:rFonts w:ascii="Times New Roman" w:hAnsi="Times New Roman"/>
          <w:b/>
          <w:color w:val="000000"/>
          <w:sz w:val="20"/>
        </w:rPr>
        <w:t>392-0123</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9146" w:type="dxa"/>
        <w:jc w:val="left"/>
        <w:tblInd w:w="0" w:type="dxa"/>
        <w:tblLayout w:type="fixed"/>
        <w:tblCellMar>
          <w:top w:w="28" w:type="dxa"/>
          <w:left w:w="28" w:type="dxa"/>
          <w:bottom w:w="28" w:type="dxa"/>
          <w:right w:w="28" w:type="dxa"/>
        </w:tblCellMar>
      </w:tblPr>
      <w:tblGrid>
        <w:gridCol w:w="3601"/>
        <w:gridCol w:w="109"/>
        <w:gridCol w:w="1621"/>
        <w:gridCol w:w="109"/>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CELC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pBdr>
          <w:top w:val="double" w:sz="6" w:space="1" w:color="000000"/>
        </w:pBdr>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September 30, 2026, Celcuity Inc. (the "Company") issued a press release announcing that REVTORPYK (gedatolisib) is now commercially available in the United States for eligible patients with hormone receptor-positive (“HR+”), human epidermal growth factor receptor 2-negative (“HER2-”), locally advanced or metastatic breast cancer ("ABC")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 A copy of this press release is furnished as Exhibit 99.1 to this report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7.01, including the accompanying exhibits, is being furnished and shall not be deemed “filed” for purposes of Section 18 of the Securities Exchange Act of 1934, as amended (the “Exchange Act”), or otherwise subject to the liabilities of that Section. The information in this Item 7.01 shall not be incorporated into any filing pursuant to the Securities Act of 1933, as amended, or the Exchange Act, regardless of any general incorporation language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September 30, 2026, the Company issued a press release announcing that REVTORPYK is now commercially available in the United States for eligible patients with HR+/HER2- ABC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127" w:type="dxa"/>
        <w:jc w:val="left"/>
        <w:tblInd w:w="0" w:type="dxa"/>
        <w:tblLayout w:type="fixed"/>
        <w:tblCellMar>
          <w:top w:w="28" w:type="dxa"/>
          <w:left w:w="28" w:type="dxa"/>
          <w:bottom w:w="28" w:type="dxa"/>
          <w:right w:w="28" w:type="dxa"/>
        </w:tblCellMar>
      </w:tblPr>
      <w:tblGrid>
        <w:gridCol w:w="526"/>
        <w:gridCol w:w="6601"/>
      </w:tblGrid>
      <w:tr>
        <w:trPr/>
        <w:tc>
          <w:tcPr>
            <w:tcW w:w="5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99.1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elc-ex99_1.htm">
              <w:r>
                <w:rPr>
                  <w:rStyle w:val="InternetLink"/>
                  <w:rFonts w:ascii="Times New Roman" w:hAnsi="Times New Roman"/>
                  <w:color w:val="0000FF"/>
                  <w:sz w:val="20"/>
                  <w:u w:val="single"/>
                </w:rPr>
                <w:t>Press release dated September 30, 2026</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rFonts w:ascii="Times New Roman" w:hAnsi="Times New Roman"/>
          <w:color w:val="000000"/>
          <w:sz w:val="20"/>
        </w:rPr>
      </w:pPr>
      <w:r>
        <w:rPr>
          <w:rFonts w:ascii="Times New Roman" w:hAnsi="Times New Roman"/>
          <w:color w:val="000000"/>
          <w:sz w:val="20"/>
        </w:rPr>
        <w:t>Date: September 30, 2026</w:t>
      </w:r>
    </w:p>
    <w:tbl>
      <w:tblPr>
        <w:tblW w:w="2541" w:type="dxa"/>
        <w:jc w:val="left"/>
        <w:tblInd w:w="0" w:type="dxa"/>
        <w:tblLayout w:type="fixed"/>
        <w:tblCellMar>
          <w:top w:w="28" w:type="dxa"/>
          <w:left w:w="28" w:type="dxa"/>
          <w:bottom w:w="28" w:type="dxa"/>
          <w:right w:w="28" w:type="dxa"/>
        </w:tblCellMar>
      </w:tblPr>
      <w:tblGrid>
        <w:gridCol w:w="124"/>
        <w:gridCol w:w="34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CELCUITY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F. Sullivan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F. Sullivan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bookmarkStart w:id="2" w:name="gfpex99_1_htm"/>
      <w:bookmarkEnd w:id="2"/>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celc-ex99_1.htm"/>
      <w:bookmarkStart w:id="4" w:name="kscelcex99_1"/>
      <w:bookmarkEnd w:id="3"/>
      <w:bookmarkEnd w:id="4"/>
      <w:r>
        <w:rPr>
          <w:rFonts w:ascii="Times New Roman" w:hAnsi="Times New Roman"/>
          <w:b/>
          <w:color w:val="000000"/>
          <w:sz w:val="20"/>
        </w:rPr>
        <w:t>Exhibit 99.1</w:t>
      </w:r>
      <w:r>
        <w:br w:type="page"/>
      </w:r>
    </w:p>
    <w:p>
      <w:pPr>
        <w:pStyle w:val="TextBody"/>
        <w:bidi w:val="0"/>
        <w:jc w:val="right"/>
        <w:rPr/>
      </w:pPr>
      <w:r>
        <w:rPr/>
        <w:t> </w:t>
      </w:r>
    </w:p>
    <w:p>
      <w:pPr>
        <w:pStyle w:val="TextBody"/>
        <w:bidi w:val="0"/>
        <w:jc w:val="center"/>
        <w:rPr/>
      </w:pPr>
      <w:r>
        <w:rPr/>
        <w:drawing>
          <wp:inline distT="0" distB="0" distL="0" distR="0">
            <wp:extent cx="17526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476250"/>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Celcuity Announces That REVTORPYK (gedatolisib) Is Now Commercially Available In The United States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REVTORPYK is indicated for patients with HR+/HER2- advanced breast cancer without a PIK3CA mutation detected following progression on or after at least one line of endocrine therapy in the metastatic setting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REVTORPYK is the first and only FDA-approved therapy that inhibits all class I PI3K isoforms (α, β, δ, γ) and mTOR complexes mTORC1 and mTORC2, to comprehensively blockade the PI3K/AKT/mTOR (“PAM”) pathway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 the PIK3CA wild-type cohort of the Phase 3 VIKTORIA-1 trial, the REVTORPYK triplet and REVTORPYK doublet reduced the risk of disease progression or death by 76% and 67%, respectively, compared to fulvestrant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Healthcare providers can visit www.revtorpykhcp.com to access a comprehensive patient support program through REVTORPYK Support Services</w:t>
      </w:r>
    </w:p>
    <w:p>
      <w:pPr>
        <w:pStyle w:val="TextBody"/>
        <w:bidi w:val="0"/>
        <w:spacing w:before="360" w:after="283"/>
        <w:jc w:val="both"/>
        <w:rPr>
          <w:rFonts w:ascii="Times New Roman" w:hAnsi="Times New Roman"/>
          <w:sz w:val="20"/>
        </w:rPr>
      </w:pPr>
      <w:r>
        <w:rPr>
          <w:rFonts w:ascii="Times New Roman" w:hAnsi="Times New Roman"/>
          <w:b/>
          <w:color w:val="000000"/>
          <w:sz w:val="20"/>
        </w:rPr>
        <w:t>MINNEAPOLIS, September 30, 2026</w:t>
      </w:r>
      <w:r>
        <w:rPr>
          <w:rFonts w:ascii="Times New Roman" w:hAnsi="Times New Roman"/>
          <w:color w:val="000000"/>
          <w:sz w:val="20"/>
        </w:rPr>
        <w:t xml:space="preserve">— Celcuity Inc. (Nasdaq: CELC), a biotechnology company focused on developing and commercializing targeted therapies for the treatment of multiple solid tumor indications, today announced that REVTORPYK (gedatolisib) is now commercially available in the United States for eligible patients with hormone receptor positive (“HR+”), human epidermal growth factor receptor 2 negative (“HER2-”), locally advanced or metastatic breast cancer (“ABC”)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 REVTORPYK was approved in combination with palbociclib and fulvestrant (“REVTORPYK triplet”) and in combination with fulvestrant (“REVTORPYK doublet”), by the U.S. Food and Drug Administration (“FDA”) on July 14, 2026.</w:t>
      </w:r>
    </w:p>
    <w:p>
      <w:pPr>
        <w:pStyle w:val="TextBody"/>
        <w:bidi w:val="0"/>
        <w:spacing w:before="240" w:after="283"/>
        <w:jc w:val="both"/>
        <w:rPr/>
      </w:pPr>
      <w:r>
        <w:rPr>
          <w:color w:val="000000"/>
        </w:rPr>
        <w:t>“</w:t>
      </w:r>
      <w:r>
        <w:rPr>
          <w:rFonts w:ascii="Times New Roman" w:hAnsi="Times New Roman"/>
          <w:color w:val="000000"/>
          <w:sz w:val="20"/>
        </w:rPr>
        <w:t xml:space="preserve">Our experienced commercial and medical affairs teams have been laying the groundwork for a successful launch with healthcare providers, payers, and patient advocacy partners since REVTORPYK was approved,” said Brian Sullivan, CEO and co-founder of Celcuity. “Now that REVTORPYK is commercially available, we are focused on working with physicians to bring this new treatment option to patients living with HR+/HER2- advanced breast cancer.”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its commitment to patient access, Celcuity has launched the REVTORPYK Support Services program to provide financial assistance and treatment enrollment resources for physicians and eligible patients. The program offers support with insurance coverage, including access and reimbursement; and facilitates access to financial assistance, including Copay Assistance and Patient Assistance Programs. For more information, healthcare providers can visit www.revtorpykhcp.com or contact REVTORPYK Support Services at 877-4-CELCUITY (877-423-5284).</w:t>
      </w:r>
    </w:p>
    <w:p>
      <w:pPr>
        <w:pStyle w:val="TextBody"/>
        <w:bidi w:val="0"/>
        <w:spacing w:before="240" w:after="283"/>
        <w:jc w:val="both"/>
        <w:rPr>
          <w:color w:val="000000"/>
        </w:rPr>
      </w:pPr>
      <w:r>
        <w:rPr>
          <w:color w:val="000000"/>
        </w:rPr>
        <w:t>“</w:t>
      </w:r>
      <w:r>
        <w:rPr>
          <w:rFonts w:ascii="Times New Roman" w:hAnsi="Times New Roman"/>
          <w:color w:val="000000"/>
          <w:sz w:val="20"/>
        </w:rPr>
        <w:t>There is an urgent need for new and differentiated treatment options for patients with HR+/HER2-, PIK3CA wild-type advanced breast cancer in the second-line setting,” said Igor Gorbatchevsky, MD, Chief Medical Officer of Celcuity. “REVTORPYK demonstrated unprecedented clinical benefit in the pivotal VIKTORIA-1 study, and we believe, provides an important new therapeutic option to address this need. We are excited now to make this new therapy available to physicians and their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Celcuity submitted a supplemental New Drug Application to the FDA in August for REVTORPYK to treat patients with HR+/HER2-, PIK3CA mutated, advanced breast cancer based on the results of Study 2 of the VIKTORIA-1 trial. If approved, physicians would have the option to prescribe REVTORPYK for patients with advanced breast cancer regardless of their PIK3CA tumor status.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About HR+/HER2- Breast Cancer</w:t>
      </w:r>
    </w:p>
    <w:p>
      <w:pPr>
        <w:pStyle w:val="TextBody"/>
        <w:bidi w:val="0"/>
        <w:spacing w:lineRule="auto" w:line="360" w:before="240" w:after="283"/>
        <w:jc w:val="both"/>
        <w:rPr>
          <w:rFonts w:ascii="Times New Roman" w:hAnsi="Times New Roman"/>
          <w:sz w:val="13"/>
        </w:rPr>
      </w:pPr>
      <w:r>
        <w:rPr>
          <w:rFonts w:ascii="Times New Roman" w:hAnsi="Times New Roman"/>
          <w:color w:val="000000"/>
          <w:sz w:val="20"/>
        </w:rPr>
        <w:t>Breast cancer is the second most common cancer and one of the leading causes of cancer-related deaths worldwide.1 More than two million breast cancer cases were diagnosed globally in 2022.1 While survival rates are high for those diagnosed with early breast cancer, only approximately 30% of patients who are diagnosed with or who progress to metastatic disease are expected to live five years after their diagnosis.2 HR+/HER2- breast cancer is the most common subtype of breast cancer, accounting for approximately 70% of all breast cancers.</w:t>
      </w:r>
      <w:r>
        <w:rPr>
          <w:rFonts w:ascii="Times New Roman" w:hAnsi="Times New Roman"/>
          <w:color w:val="000000"/>
          <w:sz w:val="13"/>
        </w:rPr>
        <w:t xml:space="preserve">2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About REVTORPYK (gedatolisib)</w:t>
      </w:r>
    </w:p>
    <w:p>
      <w:pPr>
        <w:pStyle w:val="TextBody"/>
        <w:bidi w:val="0"/>
        <w:spacing w:lineRule="auto" w:line="360" w:before="240" w:after="283"/>
        <w:jc w:val="both"/>
        <w:rPr>
          <w:rFonts w:ascii="Times New Roman" w:hAnsi="Times New Roman"/>
          <w:sz w:val="13"/>
        </w:rPr>
      </w:pPr>
      <w:r>
        <w:rPr>
          <w:rFonts w:ascii="Times New Roman" w:hAnsi="Times New Roman"/>
          <w:color w:val="000000"/>
          <w:sz w:val="20"/>
        </w:rPr>
        <w:t>REVTORPYK is a kinase inhibitor of class I PI3K isoforms (α, β, δ, γ) and mTOR complexes mTORC1 and mTORC2, resulting in downstream inhibition of multiple effectors, including AKT.</w:t>
      </w:r>
      <w:r>
        <w:rPr>
          <w:rFonts w:ascii="Times New Roman" w:hAnsi="Times New Roman"/>
          <w:color w:val="000000"/>
          <w:sz w:val="13"/>
        </w:rPr>
        <w:t>3,4,5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REVTORPYK is in development for the first-line treatment of HR+/HER2- ABC and for the second-line treatment of metastatic castration-resistant prostate cancer.</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Indication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REVTORPYK (gedatolisib) is a kinase inhibitor indicated in combination with fulvestrant, with or without palbociclib, for the treatment of adult patients with hormone receptor (HR)-positive, human epidermal growth factor receptor 2 (HER2)-negative locally advanced or metastatic breast cancer without a PIK3CA mutation detected following progression on or after treatment with at least one line of endocrine therapy in the metastatic setting.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IMPORTANT SAFETY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WARNINGS AND PRECAUTIONS</w:t>
      </w:r>
    </w:p>
    <w:p>
      <w:pPr>
        <w:pStyle w:val="TextBody"/>
        <w:bidi w:val="0"/>
        <w:spacing w:before="240" w:after="283"/>
        <w:jc w:val="both"/>
        <w:rPr>
          <w:rFonts w:ascii="Times New Roman" w:hAnsi="Times New Roman"/>
          <w:sz w:val="20"/>
        </w:rPr>
      </w:pPr>
      <w:r>
        <w:rPr>
          <w:rFonts w:ascii="Times New Roman" w:hAnsi="Times New Roman"/>
          <w:b/>
          <w:color w:val="000000"/>
          <w:sz w:val="20"/>
        </w:rPr>
        <w:t>Stomatitis:</w:t>
      </w:r>
      <w:r>
        <w:rPr>
          <w:rFonts w:ascii="Times New Roman" w:hAnsi="Times New Roman"/>
          <w:color w:val="000000"/>
          <w:sz w:val="20"/>
        </w:rPr>
        <w:t xml:space="preserve"> REVTORPYK can cause severe stomatitis, including ulcers and oral mucositis. Stomatitis occurred in 72% of patients treated with REVTORPYK with fulvestrant and palbociclib, including Grade 3 events in 22% of patients. Stomatitis occurred in 58% of patients treated with REVTORPYK with fulvestrant, including Grade 3 events in 12% of patients. Initiate a steroid-containing, alcohol-free mouthwash prior to starting treatment with REVTORPYK and continue prophylactically during treatment. Monitor patients for signs and symptoms of stomatitis. Withhold, reduce dose, or permanently discontinue REVTORPYK based on severity.</w:t>
      </w:r>
    </w:p>
    <w:p>
      <w:pPr>
        <w:pStyle w:val="TextBody"/>
        <w:bidi w:val="0"/>
        <w:spacing w:before="240" w:after="283"/>
        <w:jc w:val="both"/>
        <w:rPr>
          <w:rFonts w:ascii="Times New Roman" w:hAnsi="Times New Roman"/>
          <w:sz w:val="20"/>
        </w:rPr>
      </w:pPr>
      <w:r>
        <w:rPr>
          <w:rFonts w:ascii="Times New Roman" w:hAnsi="Times New Roman"/>
          <w:b/>
          <w:color w:val="000000"/>
          <w:sz w:val="20"/>
        </w:rPr>
        <w:t>Dermatologic Adverse Reactions:</w:t>
      </w:r>
      <w:r>
        <w:rPr>
          <w:rFonts w:ascii="Times New Roman" w:hAnsi="Times New Roman"/>
          <w:color w:val="000000"/>
          <w:sz w:val="20"/>
        </w:rPr>
        <w:t xml:space="preserve"> REVTORPYK can cause severe rash. Rash occurred in 30% of patients treated with REVTORPYK in combination with fulvestrant and palbociclib, including Grade 3 events in 6% of patients. Rash occurred in 40% of patients treated with REVTORPYK with fulvestrant, including 5% of patients with Grade 3 events. Monitor patients for rash and infectious sequelae. Instruct patients to limit sun exposure during REVTORPYK treatment. Withhold, reduce dose, or permanently discontinue REVTORPYK based on severity.</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Hyperglycemia: </w:t>
      </w:r>
      <w:r>
        <w:rPr>
          <w:rFonts w:ascii="Times New Roman" w:hAnsi="Times New Roman"/>
          <w:color w:val="000000"/>
          <w:sz w:val="20"/>
        </w:rPr>
        <w:t>REVTORPYK can cause severe hyperglycemia. Monitor fasting glucose prior to initiating treatment with REVTORPYK and periodically during treatment. Monitor HbA1c level if clinically indicated. Increased fasting glucose occurred in 46% of patients receiving REVTORPYK in combination with fulvestrant and palbociclib (Grade 3: 0.9%) and in 57% of patients receiving REVTORPYK in combination with fulvestrant (Grade 3: 1.8%). The safety of REVTORPYK has not been established in patients with Type 1 or uncontrolled Type 2 diabetes mellitus. Patients with well-controlled Type 2 diabetes may require intensified antihyperglycemic therapy and close monitoring of fasting glucose. Manage hyperglycemia with antihyperglycemic medications as clinically indicated. Evaluate fasting blood glucose and HbA1c levels prior to starting and at regular intervals during treatment. Withhold, reduce dose, or permanently discontinue REVTORPYK based on severity.</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Embryo-Fetal Toxicity: </w:t>
      </w:r>
      <w:r>
        <w:rPr>
          <w:rFonts w:ascii="Times New Roman" w:hAnsi="Times New Roman"/>
          <w:color w:val="000000"/>
          <w:sz w:val="20"/>
        </w:rPr>
        <w:t>Based on its mechanism of action, REVTORPYK can cause fetal harm when administered to a pregnant woman. Advise pregnant women and females of reproductive potential of the potential risk to a fetus. Advise females of reproductive potential to use effective contraception during treatment with REVTORPYK and for 2 weeks after the last dose. Advise male patients with female partners of reproductive potential to use effective contraception during treatment and for 2 weeks after the last dose.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Advise women not to breastfeed during treatment with REVTORPYK and for 2 weeks after the last dose. When REVTORPYK is used in combination, advise patients to use effective contraception during treatment and for the longest post-treatment duration recommended in the Prescribing Information of any of the individual products. Verify the pregnancy status of females of reproductive potential prior to initiating treatment.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ADVERSE REACTIONS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REVTORPYK in Combination with Fulvestrant and Palbociclib: The most common (≥20%) adverse reactions, including laboratory abnormalities when given in combination with fulvestrant and palbociclib were decreased white blood cells, decreased neutrophils, decreased hemoglobin, decreased lymphocytes, stomatitis, nausea, decreased platelets, increased fasting glucose, fatigue, vomiting, rash, constipation, diarrhea, increased alanine aminotransferase (ALT), increased aspartate aminotransferase (AST), musculoskeletal pain, decreased sodium, and increased eosinophils.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REVTORPYK in Combination with Fulvestrant: The most common (≥20%) adverse reactions, including laboratory abnormalities when given in combination with fulvestrant were stomatitis, glucose increased, eosinophils increased, hemoglobin decreased, nausea, rash, ALT increased, fatigue, musculoskeletal pain, lymphocytes decreased, vomiting, AST increased, pruritus, and diarrhea.</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USE IN SPECIFIC POPULATION</w:t>
      </w:r>
    </w:p>
    <w:p>
      <w:pPr>
        <w:pStyle w:val="TextBody"/>
        <w:bidi w:val="0"/>
        <w:spacing w:before="240" w:after="283"/>
        <w:jc w:val="both"/>
        <w:rPr>
          <w:rFonts w:ascii="Times New Roman" w:hAnsi="Times New Roman"/>
          <w:sz w:val="20"/>
        </w:rPr>
      </w:pPr>
      <w:r>
        <w:rPr>
          <w:rFonts w:ascii="Times New Roman" w:hAnsi="Times New Roman"/>
          <w:b/>
          <w:color w:val="000000"/>
          <w:sz w:val="20"/>
        </w:rPr>
        <w:t>Lactation:</w:t>
      </w:r>
      <w:r>
        <w:rPr>
          <w:rFonts w:ascii="Times New Roman" w:hAnsi="Times New Roman"/>
          <w:color w:val="000000"/>
          <w:sz w:val="20"/>
        </w:rPr>
        <w:t xml:space="preserve"> Advise women not to breastfeed during treatment with REVTORPYK and for 2 weeks after the last dose. When used in combination, advise patients not to breastfeed during treatment and for the longest post-treatment duration recommended in the Prescribing Information of any of the individual products.</w:t>
      </w:r>
    </w:p>
    <w:p>
      <w:pPr>
        <w:pStyle w:val="TextBody"/>
        <w:bidi w:val="0"/>
        <w:spacing w:before="240" w:after="283"/>
        <w:jc w:val="both"/>
        <w:rPr>
          <w:rFonts w:ascii="Times New Roman" w:hAnsi="Times New Roman"/>
          <w:sz w:val="20"/>
        </w:rPr>
      </w:pPr>
      <w:r>
        <w:rPr>
          <w:rFonts w:ascii="Times New Roman" w:hAnsi="Times New Roman"/>
          <w:b/>
          <w:color w:val="000000"/>
          <w:sz w:val="20"/>
        </w:rPr>
        <w:t>Infertility:</w:t>
      </w:r>
      <w:r>
        <w:rPr>
          <w:rFonts w:ascii="Times New Roman" w:hAnsi="Times New Roman"/>
          <w:color w:val="000000"/>
          <w:sz w:val="20"/>
        </w:rPr>
        <w:t xml:space="preserve"> Advise females and males of reproductive potential that REVTORPYK may impair fertility.</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Please see full </w:t>
      </w:r>
      <w:r>
        <w:rPr>
          <w:rFonts w:ascii="Times New Roman" w:hAnsi="Times New Roman"/>
          <w:b/>
          <w:color w:val="000000"/>
          <w:sz w:val="20"/>
          <w:u w:val="single"/>
        </w:rPr>
        <w:t>Prescribing Information</w:t>
      </w:r>
      <w:r>
        <w:rPr>
          <w:rFonts w:ascii="Times New Roman" w:hAnsi="Times New Roman"/>
          <w:b/>
          <w:color w:val="000000"/>
          <w:sz w:val="20"/>
        </w:rPr>
        <w:t xml:space="preserve">, including </w:t>
      </w:r>
      <w:r>
        <w:rPr>
          <w:rFonts w:ascii="Times New Roman" w:hAnsi="Times New Roman"/>
          <w:b/>
          <w:color w:val="000000"/>
          <w:sz w:val="20"/>
          <w:u w:val="single"/>
        </w:rPr>
        <w:t>Patient Information</w:t>
      </w:r>
      <w:r>
        <w:rPr>
          <w:rFonts w:ascii="Times New Roman" w:hAnsi="Times New Roman"/>
          <w:b/>
          <w:color w:val="000000"/>
          <w:sz w:val="20"/>
        </w:rPr>
        <w:t>, for REVTORPYK.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may report side effects related to Celcuity products to Celcuity Medical Information at 1-877-4-CELCUITY (1-877-423-5284) or to FDA at 1-800-FDA-1088 or www.fda.gov/medwatch.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 2026 Celcuity Inc. All rights reserved. REVTORPYK and its logo are trademarks of Celcuity, Inc.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About Celcuity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Celcuity is a biotechnology company focused on developing and commercializing targeted therapies for the treatment of multiple solid tumor indications. The company's first FDA-approved product is REVTORPYK (gedatolisib), a potent, pan-PI3K and mTORC1/2 inhibitor that comprehensively blockades the PAM pathway. Its mechanism of action and pharmacokinetic properties are differentiated from other currently approved and investigational therapies that target PI3Kα, AKT or mTORC1 alone or together. A Phase 3 clinical trial, VIKTORIA-1, evaluated gedatolisib in combination with fulvestrant, with or without palbociclib, for the treatment of patients with HR+/HER2- ABC. Data from this trial is the basis for FDA approval of REVTORPYK for use in adult patients with HR+/HER2- ABC without a PIK3CA mutation detected following progression on or after treatment with at least one line of endocrine therapy in the metastatic setting. Results for the PIK3CA mutant cohort of the VIKTORIA-1 study have been released. Our Phase 3 clinical trial, VIKTORIA-2, is an ongoing trial incorporating two independent studies, Study 1 and Study 2, in two separate cohorts of patients with ABC who are treatment-naive in the advanced setting. Study 1 is evaluating gedatolisib in combination with palbociclib and fulvestrant as first-line treatment for patients with endocrine-resistant HR+/HER2- ABC. Study 2 is evaluating gedatolisib in combination with palbociclib and letrozole as first-line treatment for patients with endocrine-sensitive HR+/HER2- ABC. A Phase 1b/2 clinical trial, CELC-G-201, evaluating gedatolisib in combination with darolutamide in patients with metastatic castration-resistant prostate cancer, is ongoing. More detailed information about Celcuity’s active clinical trials can be found at ClinicalTrials.gov. Celcuity is headquartered in Minneapolis. Further information about Celcuity can be found at www.celcuity.com. Follow us on LinkedIn and X.</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press release contains statements that constitute "forward-looking statements" within the meaning of the Private Securities Litigation Reform Act of 1995 including statements relating to REVTORPYK and the potential therapeutic benefits of gedatolisib; the size, design and timing of the Company’s clinical trials; the Company’s interpretation of clinical trial data; the status and timing of the submission, and the FDA’s review, of the Company’s supplemental New Drug Application ("sNDA") for REVTORPYK, and for making comparable filings with other regulatory authorities outside the U.S.; the market opportunity for REVTORPYK; the Company’s expectations regarding the timing of and its ability to commercialize REVTORPYK;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its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press release are based on management's current expectations and beliefs which are subject to a number of risks, uncertainties and factors, including that the Company’s topline clinical results are based on an ongoing analysis of efficacy and safety data and such data may change following a more comprehensive review of the data related to the clinical trial; unforeseen delays in the Company’s clinical trials or the submission, and FDA’s review of, its sNDA for REVTORPYK; the Company’s ability to obtain regulatory approval of its sNDA and maintain regulatory approvals to commercialize REVTORPYK in the U.S. and obtain regulatory approval of gedatolisib outside the U.S., and the market acceptance of REVTORPYK; the development of therapies and tools competitive with gedatolisib; and the Company’s ability to access capital upon favorable terms. In addition, all forward-looking statements are subject to other risks detailed in the Company’s Annual Report on Form 10-K for the year ended December 31, 2025, as such risks may be updated in its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press release to reflect events or circumstances after the date hereof.</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References:</w:t>
      </w:r>
    </w:p>
    <w:p>
      <w:pPr>
        <w:pStyle w:val="TextBody"/>
        <w:bidi w:val="0"/>
        <w:spacing w:before="240" w:after="283"/>
        <w:jc w:val="both"/>
        <w:rPr>
          <w:rFonts w:ascii="sans-serif" w:hAnsi="sans-serif"/>
          <w:color w:val="000000"/>
          <w:sz w:val="20"/>
        </w:rPr>
      </w:pPr>
      <w:r>
        <w:rPr>
          <w:rFonts w:ascii="sans-serif" w:hAnsi="sans-serif"/>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Sung H, et al. Global Cancer Statistics 2020: GLOBOCAN Estimates of Incidence and Mortality Worldwide for 36 Cancers in 185 Countries. CA Cancer J Clin. 2021;10.3322/caac.21660.</w:t>
      </w:r>
    </w:p>
    <w:p>
      <w:pPr>
        <w:pStyle w:val="TextBody"/>
        <w:bidi w:val="0"/>
        <w:spacing w:before="0" w:after="0"/>
        <w:jc w:val="both"/>
        <w:rPr>
          <w:rFonts w:ascii="sans-serif" w:hAnsi="sans-serif"/>
          <w:color w:val="000000"/>
          <w:sz w:val="20"/>
        </w:rPr>
      </w:pPr>
      <w:r>
        <w:rPr>
          <w:rFonts w:ascii="sans-serif" w:hAnsi="sans-serif"/>
          <w:color w:val="000000"/>
          <w:sz w:val="20"/>
        </w:rPr>
        <w:t>2.</w:t>
      </w:r>
    </w:p>
    <w:p>
      <w:pPr>
        <w:pStyle w:val="TextBody"/>
        <w:bidi w:val="0"/>
        <w:spacing w:before="0" w:after="0"/>
        <w:jc w:val="both"/>
        <w:rPr>
          <w:rFonts w:ascii="Times New Roman" w:hAnsi="Times New Roman"/>
          <w:sz w:val="20"/>
        </w:rPr>
      </w:pPr>
      <w:r>
        <w:rPr>
          <w:rFonts w:ascii="Times New Roman" w:hAnsi="Times New Roman"/>
          <w:color w:val="000000"/>
          <w:sz w:val="20"/>
        </w:rPr>
        <w:t>National Cancer Institute. Surveillance, Epidemiology and End Results Program (accessed July 2025).</w:t>
        <w:br/>
      </w:r>
      <w:r>
        <w:rPr>
          <w:rFonts w:ascii="Times New Roman" w:hAnsi="Times New Roman"/>
          <w:color w:val="0096C7"/>
          <w:sz w:val="20"/>
          <w:u w:val="single"/>
        </w:rPr>
        <w:t>https://seer.cancer.gov/statfacts/html/breast-subtypes.html</w:t>
      </w:r>
    </w:p>
    <w:p>
      <w:pPr>
        <w:pStyle w:val="TextBody"/>
        <w:bidi w:val="0"/>
        <w:spacing w:before="0" w:after="0"/>
        <w:jc w:val="both"/>
        <w:rPr>
          <w:rFonts w:ascii="sans-serif" w:hAnsi="sans-serif"/>
          <w:color w:val="000000"/>
          <w:sz w:val="20"/>
        </w:rPr>
      </w:pPr>
      <w:r>
        <w:rPr>
          <w:rFonts w:ascii="sans-serif" w:hAnsi="sans-serif"/>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Venkatesan, A. M., et al. Bis(morpholino-1,3,5-triazine) derivatives: potent adenosine 5'-triphosphate competitive phosphatidylinositol-3-kinase/mammalian target of rapamycin inhibitors: discovery of compound 26 (PKI-587), a highly efficacious dual inhibitor. J Med Chem, 2010;53(6), 2636-2645. https://doi.org/10.1021/jm901830p</w:t>
      </w:r>
    </w:p>
    <w:p>
      <w:pPr>
        <w:pStyle w:val="TextBody"/>
        <w:bidi w:val="0"/>
        <w:spacing w:before="0" w:after="0"/>
        <w:jc w:val="both"/>
        <w:rPr>
          <w:rFonts w:ascii="sans-serif" w:hAnsi="sans-serif"/>
          <w:color w:val="000000"/>
          <w:sz w:val="20"/>
        </w:rPr>
      </w:pPr>
      <w:r>
        <w:rPr>
          <w:rFonts w:ascii="sans-serif" w:hAnsi="sans-serif"/>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Mallon, R., et al. Antitumor efficacy of PKI-587, a highly potent dual PI3K/mTOR kinase inhibitor. Clin Cancer Res, 2011;17(10), 3193-3203. https://doi.org/10.1158/1078-0432.CCR-10-1694</w:t>
      </w:r>
    </w:p>
    <w:p>
      <w:pPr>
        <w:pStyle w:val="TextBody"/>
        <w:bidi w:val="0"/>
        <w:spacing w:before="0" w:after="300"/>
        <w:jc w:val="both"/>
        <w:rPr>
          <w:rFonts w:ascii="sans-serif" w:hAnsi="sans-serif"/>
          <w:color w:val="000000"/>
          <w:sz w:val="20"/>
        </w:rPr>
      </w:pPr>
      <w:r>
        <w:rPr>
          <w:rFonts w:ascii="sans-serif" w:hAnsi="sans-serif"/>
          <w:color w:val="000000"/>
          <w:sz w:val="20"/>
        </w:rPr>
        <w:t>5.</w:t>
      </w:r>
    </w:p>
    <w:p>
      <w:pPr>
        <w:pStyle w:val="TextBody"/>
        <w:bidi w:val="0"/>
        <w:spacing w:before="0" w:after="300"/>
        <w:jc w:val="both"/>
        <w:rPr>
          <w:rFonts w:ascii="Times New Roman" w:hAnsi="Times New Roman"/>
          <w:color w:val="000000"/>
          <w:sz w:val="20"/>
        </w:rPr>
      </w:pPr>
      <w:r>
        <w:rPr>
          <w:rFonts w:ascii="Times New Roman" w:hAnsi="Times New Roman"/>
          <w:color w:val="000000"/>
          <w:sz w:val="20"/>
        </w:rPr>
        <w:t>Rossetti, S., et al. Gedatolisib shows superior potency and efficacy versus single-node PI3K/AKT/mTOR inhibitors in breast cancer models. NPJ Breast Cancer, 2024;10(1), 40. https://doi.org/10.1038/s41523-024-00648-0</w:t>
      </w:r>
    </w:p>
    <w:p>
      <w:pPr>
        <w:pStyle w:val="TextBody"/>
        <w:bidi w:val="0"/>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Investors: </w:t>
        <w:br/>
        <w:t xml:space="preserve">Brian Sullivan, </w:t>
      </w:r>
      <w:r>
        <w:rPr>
          <w:rFonts w:ascii="Times New Roman" w:hAnsi="Times New Roman"/>
          <w:color w:val="0563C1"/>
          <w:sz w:val="20"/>
          <w:u w:val="single"/>
        </w:rPr>
        <w:t>bsullivan@celcuity.com</w:t>
      </w:r>
      <w:r>
        <w:rPr>
          <w:rFonts w:ascii="Times New Roman" w:hAnsi="Times New Roman"/>
          <w:color w:val="000000"/>
          <w:sz w:val="20"/>
        </w:rPr>
        <w:br/>
        <w:t xml:space="preserve">Vicky Hahne, </w:t>
      </w:r>
      <w:r>
        <w:rPr>
          <w:rFonts w:ascii="Times New Roman" w:hAnsi="Times New Roman"/>
          <w:color w:val="0563C1"/>
          <w:sz w:val="20"/>
          <w:u w:val="single"/>
        </w:rPr>
        <w:t>vhahne@celcuity.com</w:t>
      </w:r>
      <w:r>
        <w:rPr>
          <w:rFonts w:ascii="Times New Roman" w:hAnsi="Times New Roman"/>
          <w:color w:val="000000"/>
          <w:sz w:val="20"/>
        </w:rPr>
        <w:t xml:space="preserve"> </w:t>
        <w:br/>
        <w:t>(763) 392-0123</w:t>
        <w:br/>
        <w:t xml:space="preserve">Jodi Sievers, </w:t>
      </w:r>
      <w:r>
        <w:rPr>
          <w:rFonts w:ascii="Times New Roman" w:hAnsi="Times New Roman"/>
          <w:color w:val="0563C1"/>
          <w:sz w:val="20"/>
          <w:u w:val="single"/>
        </w:rPr>
        <w:t>jsievers@celcuity.com</w:t>
      </w:r>
      <w:r>
        <w:rPr>
          <w:rFonts w:ascii="Times New Roman" w:hAnsi="Times New Roman"/>
          <w:color w:val="000000"/>
          <w:sz w:val="20"/>
        </w:rPr>
        <w:br/>
        <w:t>(415) 494-9924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Media:</w:t>
        <w:br/>
        <w:t>Sam Brown LLC</w:t>
        <w:br/>
        <w:t>Laura Morgan, lauramorgan@sambrown.com</w:t>
        <w:br/>
        <w:t>(951) 333-9110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2816</Words>
  <Characters>17275</Characters>
  <CharactersWithSpaces>19993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