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80827.xml.htm"/>
      <w:bookmarkStart w:id="1" w:name="ksform408182026_080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Sullivan Brian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CAMPUS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Celcuity Inc.</w:t>
              </w:r>
            </w:hyperlink>
            <w:r>
              <w:rPr/>
              <w:t xml:space="preserve"> [ </w:t>
            </w:r>
            <w:r>
              <w:rPr>
                <w:rFonts w:ascii="Times;serif" w:hAnsi="Times;serif"/>
                <w:color w:val="0000FF"/>
                <w:sz w:val="24"/>
                <w:shd w:fill="FFFFFF" w:val="clear"/>
              </w:rPr>
              <w:t>CELC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80,000</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1,450,199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948,042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802,742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#2</w:t>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total number of restricted stock units vests on the first day of the month following each of the first, second, third and fourth anniversaries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holds all voting and dispositive power with respect to the securities held by the trusts and is the beneficial owner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represents a contingent right to receive one share of Celcuity Inc. (the "Company") common stock. The performance stock units vest upon the Company's common stock achieving certain specified trailing average per share price thresholds.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Brian F. Sullivan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0454" TargetMode="External"/><Relationship Id="rId5" Type="http://schemas.openxmlformats.org/officeDocument/2006/relationships/hyperlink" Target="http://www.sec.gov/cgi-bin/browse-edgar?action=getcompany&amp;CIK=00016034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3755</Characters>
  <CharactersWithSpaces>4363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