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Celcuity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BANK OF AMERICA CORP /DE/</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3,143,687.00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3,144,064.00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3,170,198.00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beneficial ownership calculation relies on the 48,766,288 outstanding shares disclosed in the Form 10-Q by the issuer on May 14, 2026, which reports share totals as of May 7,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6"/>
        <w:gridCol w:w="8924"/>
        <w:gridCol w:w="155"/>
      </w:tblGrid>
      <w:tr>
        <w:trPr/>
        <w:tc>
          <w:tcPr>
            <w:tcW w:w="1126" w:type="dxa"/>
            <w:tcBorders/>
            <w:vAlign w:val="center"/>
          </w:tcPr>
          <w:p>
            <w:pPr>
              <w:pStyle w:val="TableContents"/>
              <w:bidi w:val="0"/>
              <w:spacing w:before="0" w:after="283"/>
              <w:jc w:val="left"/>
              <w:rPr/>
            </w:pPr>
            <w:r>
              <w:rPr/>
              <w:t>Item 1.</w:t>
            </w:r>
          </w:p>
        </w:tc>
        <w:tc>
          <w:tcPr>
            <w:tcW w:w="892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jc w:val="left"/>
              <w:rPr/>
            </w:pPr>
            <w:r>
              <w:rPr/>
              <w:t xml:space="preserve">Name of issuer: </w:t>
            </w:r>
          </w:p>
          <w:p>
            <w:pPr>
              <w:pStyle w:val="TableContents"/>
              <w:bidi w:val="0"/>
              <w:spacing w:before="0" w:after="0"/>
              <w:jc w:val="left"/>
              <w:rPr/>
            </w:pPr>
            <w:r>
              <w:rPr/>
              <w:t>Celcuity Inc.</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16305 36TH AVENUE N, SUITE 100, MINNEAPOLIS, MINNESOTA, 55446.</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2.</w:t>
            </w:r>
          </w:p>
        </w:tc>
        <w:tc>
          <w:tcPr>
            <w:tcW w:w="892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jc w:val="left"/>
              <w:rPr/>
            </w:pPr>
            <w:r>
              <w:rPr/>
              <w:t xml:space="preserve">Name of person filing: </w:t>
            </w:r>
          </w:p>
          <w:p>
            <w:pPr>
              <w:pStyle w:val="TableContents"/>
              <w:bidi w:val="0"/>
              <w:spacing w:before="0" w:after="0"/>
              <w:jc w:val="left"/>
              <w:rPr/>
            </w:pPr>
            <w:r>
              <w:rPr/>
              <w:t>BANK OF AMERICA CORP /DE/</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N TRYON ST CHARLOTTE, NC 28255</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(c)</w:t>
            </w:r>
          </w:p>
        </w:tc>
        <w:tc>
          <w:tcPr>
            <w:tcW w:w="8924"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(d)</w:t>
            </w:r>
          </w:p>
        </w:tc>
        <w:tc>
          <w:tcPr>
            <w:tcW w:w="892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(e)</w:t>
            </w:r>
          </w:p>
        </w:tc>
        <w:tc>
          <w:tcPr>
            <w:tcW w:w="892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3.</w:t>
            </w:r>
          </w:p>
        </w:tc>
        <w:tc>
          <w:tcPr>
            <w:tcW w:w="892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(c)</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(d)</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(e)</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(f)</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(g)</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(h)</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(j)</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(k)</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9079" w:type="dxa"/>
            <w:gridSpan w:val="2"/>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4.</w:t>
            </w:r>
          </w:p>
        </w:tc>
        <w:tc>
          <w:tcPr>
            <w:tcW w:w="892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3,170,198.00</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6.5%  %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(c)</w:t>
            </w:r>
          </w:p>
        </w:tc>
        <w:tc>
          <w:tcPr>
            <w:tcW w:w="892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3,143,687.00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3,144,064.00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5.</w:t>
            </w:r>
          </w:p>
        </w:tc>
        <w:tc>
          <w:tcPr>
            <w:tcW w:w="892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6.</w:t>
            </w:r>
          </w:p>
        </w:tc>
        <w:tc>
          <w:tcPr>
            <w:tcW w:w="892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7.</w:t>
            </w:r>
          </w:p>
        </w:tc>
        <w:tc>
          <w:tcPr>
            <w:tcW w:w="892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This statement on Schedule 13G is being filed by Bank of America Corporation on behalf of itself and its wholly owned subsidiaries BofA Securities, Inc., a broker dealer registered under section 15 of the Act (15 U.S.C. 78o); Bank of America N.A., a bank as defined in section 3(a)(6) of the Act (15 U.S.C. 78c); Merrill Lynch International, a non-U.S. institution in accordance with section 240.13d-1(b)(1)(ii)(J); Merrill Lynch Pierce Fenner &amp; Smith, Inc., a broker dealer registered under section 15 of the Act (15 U.S.C. 78o); and U.S. Trust Co of Delaware, a corporation which holding does not exceed one percent of the reported securities.</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8.</w:t>
            </w:r>
          </w:p>
        </w:tc>
        <w:tc>
          <w:tcPr>
            <w:tcW w:w="892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9.</w:t>
            </w:r>
          </w:p>
        </w:tc>
        <w:tc>
          <w:tcPr>
            <w:tcW w:w="892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00" w:type="dxa"/>
        <w:jc w:val="left"/>
        <w:tblInd w:w="0" w:type="dxa"/>
        <w:tblLayout w:type="fixed"/>
        <w:tblCellMar>
          <w:top w:w="28" w:type="dxa"/>
          <w:left w:w="28" w:type="dxa"/>
          <w:bottom w:w="28" w:type="dxa"/>
          <w:right w:w="28" w:type="dxa"/>
        </w:tblCellMar>
      </w:tblPr>
      <w:tblGrid>
        <w:gridCol w:w="3750"/>
        <w:gridCol w:w="3750"/>
      </w:tblGrid>
      <w:tr>
        <w:trPr/>
        <w:tc>
          <w:tcPr>
            <w:tcW w:w="3750" w:type="dxa"/>
            <w:tcBorders/>
            <w:vAlign w:val="center"/>
          </w:tcPr>
          <w:p>
            <w:pPr>
              <w:pStyle w:val="TableContents"/>
              <w:bidi w:val="0"/>
              <w:spacing w:before="0" w:after="0"/>
              <w:jc w:val="left"/>
              <w:rPr/>
            </w:pPr>
            <w:r>
              <w:rPr/>
              <w:t> </w:t>
            </w:r>
          </w:p>
          <w:tbl>
            <w:tblPr>
              <w:tblW w:w="3646" w:type="dxa"/>
              <w:jc w:val="left"/>
              <w:tblInd w:w="0" w:type="dxa"/>
              <w:tblLayout w:type="fixed"/>
              <w:tblCellMar>
                <w:top w:w="28" w:type="dxa"/>
                <w:left w:w="28" w:type="dxa"/>
                <w:bottom w:w="28" w:type="dxa"/>
                <w:right w:w="28" w:type="dxa"/>
              </w:tblCellMar>
            </w:tblPr>
            <w:tblGrid>
              <w:gridCol w:w="3646"/>
            </w:tblGrid>
            <w:tr>
              <w:trPr/>
              <w:tc>
                <w:tcPr>
                  <w:tcW w:w="3646" w:type="dxa"/>
                  <w:tcBorders/>
                  <w:vAlign w:val="center"/>
                </w:tcPr>
                <w:p>
                  <w:pPr>
                    <w:pStyle w:val="TableContents"/>
                    <w:bidi w:val="0"/>
                    <w:spacing w:before="0" w:after="0"/>
                    <w:jc w:val="left"/>
                    <w:rPr/>
                  </w:pPr>
                  <w:r>
                    <w:rPr/>
                    <w:t>BANK OF AMERICA CORP /DE/</w:t>
                  </w:r>
                </w:p>
              </w:tc>
            </w:tr>
          </w:tbl>
          <w:p>
            <w:pPr>
              <w:pStyle w:val="TableContents"/>
              <w:bidi w:val="0"/>
              <w:spacing w:before="0" w:after="283"/>
              <w:jc w:val="left"/>
              <w:rPr/>
            </w:pPr>
            <w:r>
              <w:rPr/>
            </w:r>
          </w:p>
        </w:tc>
        <w:tc>
          <w:tcPr>
            <w:tcW w:w="3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Monica Yako</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919</Words>
  <Characters>4741</Characters>
  <CharactersWithSpaces>5652</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